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301BD" w14:textId="77777777" w:rsidR="0057352E" w:rsidRPr="00DC2CDC" w:rsidRDefault="0057352E" w:rsidP="0057352E">
      <w:pPr>
        <w:spacing w:line="228" w:lineRule="auto"/>
        <w:rPr>
          <w:rFonts w:eastAsia="Palatino Linotype" w:cs="Palatino Linotype"/>
          <w:bCs/>
          <w:color w:val="auto"/>
        </w:rPr>
      </w:pPr>
      <w:r w:rsidRPr="00DC2CDC">
        <w:rPr>
          <w:rFonts w:eastAsia="Palatino Linotype" w:cs="Palatino Linotype"/>
          <w:b/>
          <w:bCs/>
          <w:color w:val="auto"/>
        </w:rPr>
        <w:t xml:space="preserve">Supplementary Table S3: </w:t>
      </w:r>
      <w:r w:rsidRPr="00DC2CDC">
        <w:rPr>
          <w:rFonts w:eastAsia="Palatino Linotype" w:cs="Palatino Linotype"/>
          <w:color w:val="auto"/>
        </w:rPr>
        <w:t>Descriptive statistics [minimum (min), maximum (max), average (avg), standard deviation (SD), and standard error (SE)] of the protein content in each of the cereal species of the calibration and validation sets used in the study.</w:t>
      </w:r>
    </w:p>
    <w:p w14:paraId="69B6ABD0" w14:textId="77777777" w:rsidR="0057352E" w:rsidRPr="00DC2CDC" w:rsidRDefault="0057352E" w:rsidP="0057352E">
      <w:pPr>
        <w:spacing w:line="228" w:lineRule="auto"/>
        <w:ind w:firstLine="425"/>
        <w:rPr>
          <w:b/>
          <w:bCs/>
          <w:color w:val="auto"/>
        </w:rPr>
      </w:pPr>
    </w:p>
    <w:tbl>
      <w:tblPr>
        <w:tblW w:w="8547" w:type="dxa"/>
        <w:jc w:val="center"/>
        <w:tblLayout w:type="fixed"/>
        <w:tblLook w:val="04A0" w:firstRow="1" w:lastRow="0" w:firstColumn="1" w:lastColumn="0" w:noHBand="0" w:noVBand="1"/>
      </w:tblPr>
      <w:tblGrid>
        <w:gridCol w:w="1636"/>
        <w:gridCol w:w="1152"/>
        <w:gridCol w:w="1152"/>
        <w:gridCol w:w="1151"/>
        <w:gridCol w:w="1152"/>
        <w:gridCol w:w="1152"/>
        <w:gridCol w:w="1152"/>
      </w:tblGrid>
      <w:tr w:rsidR="0057352E" w:rsidRPr="00DC2CDC" w14:paraId="233EE1A0" w14:textId="77777777" w:rsidTr="00EE0A75">
        <w:trPr>
          <w:trHeight w:val="288"/>
          <w:jc w:val="center"/>
        </w:trPr>
        <w:tc>
          <w:tcPr>
            <w:tcW w:w="1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FEA4A05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Set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26542A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n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B77D1DC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Min</w:t>
            </w:r>
          </w:p>
        </w:tc>
        <w:tc>
          <w:tcPr>
            <w:tcW w:w="11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EBAAF7A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Max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AEAAAE5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Avg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7AAE949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SD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2C4640B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SE</w:t>
            </w:r>
          </w:p>
        </w:tc>
      </w:tr>
      <w:tr w:rsidR="0057352E" w:rsidRPr="00DC2CDC" w14:paraId="2D7898AF" w14:textId="77777777" w:rsidTr="00EE0A75">
        <w:trPr>
          <w:trHeight w:val="288"/>
          <w:jc w:val="center"/>
        </w:trPr>
        <w:tc>
          <w:tcPr>
            <w:tcW w:w="163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E62729E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Calibration</w:t>
            </w:r>
          </w:p>
        </w:tc>
        <w:tc>
          <w:tcPr>
            <w:tcW w:w="115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1D3F9C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262</w:t>
            </w:r>
          </w:p>
        </w:tc>
        <w:tc>
          <w:tcPr>
            <w:tcW w:w="115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C22341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5.99</w:t>
            </w:r>
          </w:p>
        </w:tc>
        <w:tc>
          <w:tcPr>
            <w:tcW w:w="115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735264D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21.51</w:t>
            </w:r>
          </w:p>
        </w:tc>
        <w:tc>
          <w:tcPr>
            <w:tcW w:w="115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D0B50E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13.67</w:t>
            </w:r>
          </w:p>
        </w:tc>
        <w:tc>
          <w:tcPr>
            <w:tcW w:w="115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62BB491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3.25</w:t>
            </w:r>
          </w:p>
        </w:tc>
        <w:tc>
          <w:tcPr>
            <w:tcW w:w="115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5BAE1E3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0.20</w:t>
            </w:r>
          </w:p>
        </w:tc>
      </w:tr>
      <w:tr w:rsidR="0057352E" w:rsidRPr="00DC2CDC" w14:paraId="655E954B" w14:textId="77777777" w:rsidTr="00EE0A75">
        <w:trPr>
          <w:trHeight w:val="288"/>
          <w:jc w:val="center"/>
        </w:trPr>
        <w:tc>
          <w:tcPr>
            <w:tcW w:w="1635" w:type="dxa"/>
            <w:shd w:val="clear" w:color="auto" w:fill="auto"/>
            <w:vAlign w:val="center"/>
          </w:tcPr>
          <w:p w14:paraId="0686358A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Finger millet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5C098F1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16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8B83D0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5.99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F0A097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9.59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F19DE7D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7.95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E794D76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0.94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E9D58A6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0.24</w:t>
            </w:r>
          </w:p>
        </w:tc>
      </w:tr>
      <w:tr w:rsidR="0057352E" w:rsidRPr="00DC2CDC" w14:paraId="5B0F6D9A" w14:textId="77777777" w:rsidTr="00EE0A75">
        <w:trPr>
          <w:trHeight w:val="288"/>
          <w:jc w:val="center"/>
        </w:trPr>
        <w:tc>
          <w:tcPr>
            <w:tcW w:w="1635" w:type="dxa"/>
            <w:shd w:val="clear" w:color="auto" w:fill="auto"/>
            <w:vAlign w:val="center"/>
          </w:tcPr>
          <w:p w14:paraId="789258E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Foxtail millet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1697D06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16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6EE0041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9.08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538CBCD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13.42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9356E4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11.49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1D48264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1.16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09B260D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0.29</w:t>
            </w:r>
          </w:p>
        </w:tc>
      </w:tr>
      <w:tr w:rsidR="0057352E" w:rsidRPr="00DC2CDC" w14:paraId="0FCD3FBD" w14:textId="77777777" w:rsidTr="00EE0A75">
        <w:trPr>
          <w:trHeight w:val="288"/>
          <w:jc w:val="center"/>
        </w:trPr>
        <w:tc>
          <w:tcPr>
            <w:tcW w:w="1635" w:type="dxa"/>
            <w:shd w:val="clear" w:color="auto" w:fill="auto"/>
            <w:vAlign w:val="center"/>
          </w:tcPr>
          <w:p w14:paraId="79ECA594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Maize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6991502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9C7931E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8.76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863B1E0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9.97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3ABBF41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9.23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ED51B7F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0.44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08CACC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0.17</w:t>
            </w:r>
          </w:p>
        </w:tc>
      </w:tr>
      <w:tr w:rsidR="0057352E" w:rsidRPr="00DC2CDC" w14:paraId="63BA2A15" w14:textId="77777777" w:rsidTr="00EE0A75">
        <w:trPr>
          <w:trHeight w:val="288"/>
          <w:jc w:val="center"/>
        </w:trPr>
        <w:tc>
          <w:tcPr>
            <w:tcW w:w="1635" w:type="dxa"/>
            <w:shd w:val="clear" w:color="auto" w:fill="auto"/>
            <w:vAlign w:val="center"/>
          </w:tcPr>
          <w:p w14:paraId="5012E949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Pearl millet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08C7522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99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7764423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9.69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7F20C1B0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21.51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6B37383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15.88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D63407B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2.74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3AD8AFE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0.28</w:t>
            </w:r>
          </w:p>
        </w:tc>
      </w:tr>
      <w:tr w:rsidR="0057352E" w:rsidRPr="00DC2CDC" w14:paraId="465D1C88" w14:textId="77777777" w:rsidTr="00EE0A75">
        <w:trPr>
          <w:trHeight w:val="288"/>
          <w:jc w:val="center"/>
        </w:trPr>
        <w:tc>
          <w:tcPr>
            <w:tcW w:w="16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ED528C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Sorghum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4CCC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124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B0DB51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8.68</w:t>
            </w:r>
          </w:p>
        </w:tc>
        <w:tc>
          <w:tcPr>
            <w:tcW w:w="11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A70EB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18.38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AAD94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13.17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51E82D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2.45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44BEEA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0.22</w:t>
            </w:r>
          </w:p>
        </w:tc>
      </w:tr>
      <w:tr w:rsidR="0057352E" w:rsidRPr="00DC2CDC" w14:paraId="2CE7F295" w14:textId="77777777" w:rsidTr="00EE0A75">
        <w:trPr>
          <w:trHeight w:val="288"/>
          <w:jc w:val="center"/>
        </w:trPr>
        <w:tc>
          <w:tcPr>
            <w:tcW w:w="163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1C5B41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Validation</w:t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5C240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66</w:t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59F1FB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6.76</w:t>
            </w:r>
          </w:p>
        </w:tc>
        <w:tc>
          <w:tcPr>
            <w:tcW w:w="115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A51720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20.14</w:t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752ADF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13.27</w:t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FA9DC6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3.37</w:t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83C34A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0.41</w:t>
            </w:r>
          </w:p>
        </w:tc>
      </w:tr>
      <w:tr w:rsidR="0057352E" w:rsidRPr="00DC2CDC" w14:paraId="4D45990D" w14:textId="77777777" w:rsidTr="00EE0A75">
        <w:trPr>
          <w:trHeight w:val="288"/>
          <w:jc w:val="center"/>
        </w:trPr>
        <w:tc>
          <w:tcPr>
            <w:tcW w:w="1635" w:type="dxa"/>
            <w:shd w:val="clear" w:color="auto" w:fill="auto"/>
            <w:vAlign w:val="center"/>
          </w:tcPr>
          <w:p w14:paraId="59520BFA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Finger millet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BA26B75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1014816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6.76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09375301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9.07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A780D21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7.84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A9C7491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1.26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F30C6C0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0.63</w:t>
            </w:r>
          </w:p>
        </w:tc>
      </w:tr>
      <w:tr w:rsidR="0057352E" w:rsidRPr="00DC2CDC" w14:paraId="3E732604" w14:textId="77777777" w:rsidTr="00EE0A75">
        <w:trPr>
          <w:trHeight w:val="288"/>
          <w:jc w:val="center"/>
        </w:trPr>
        <w:tc>
          <w:tcPr>
            <w:tcW w:w="1635" w:type="dxa"/>
            <w:shd w:val="clear" w:color="auto" w:fill="auto"/>
            <w:vAlign w:val="center"/>
          </w:tcPr>
          <w:p w14:paraId="020D77BF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Foxtail millet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9B77CB4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F37E693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10.52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4E95766F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13.17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6ED62DB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11.59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BF63FED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1.40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0FF552A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0.81</w:t>
            </w:r>
          </w:p>
        </w:tc>
      </w:tr>
      <w:tr w:rsidR="0057352E" w:rsidRPr="00DC2CDC" w14:paraId="71CE1805" w14:textId="77777777" w:rsidTr="00EE0A75">
        <w:trPr>
          <w:trHeight w:val="288"/>
          <w:jc w:val="center"/>
        </w:trPr>
        <w:tc>
          <w:tcPr>
            <w:tcW w:w="1635" w:type="dxa"/>
            <w:shd w:val="clear" w:color="auto" w:fill="auto"/>
            <w:vAlign w:val="center"/>
          </w:tcPr>
          <w:p w14:paraId="628647A9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Maize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47800ED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AC85878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8.53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12F6BB4E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9.21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E7C4C4C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8.91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187B27D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0.35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DD725B2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0.20</w:t>
            </w:r>
          </w:p>
        </w:tc>
      </w:tr>
      <w:tr w:rsidR="0057352E" w:rsidRPr="00DC2CDC" w14:paraId="07E345E4" w14:textId="77777777" w:rsidTr="00EE0A75">
        <w:trPr>
          <w:trHeight w:val="288"/>
          <w:jc w:val="center"/>
        </w:trPr>
        <w:tc>
          <w:tcPr>
            <w:tcW w:w="1635" w:type="dxa"/>
            <w:shd w:val="clear" w:color="auto" w:fill="auto"/>
            <w:vAlign w:val="center"/>
          </w:tcPr>
          <w:p w14:paraId="0A7C697C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Pearl millet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1E782A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26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98C1AE3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9.76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5EF01E40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20.14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CC56866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15.38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C42E126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3.23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CC475AD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0.63</w:t>
            </w:r>
          </w:p>
        </w:tc>
      </w:tr>
      <w:tr w:rsidR="0057352E" w:rsidRPr="00DC2CDC" w14:paraId="1BF1CEF7" w14:textId="77777777" w:rsidTr="00EE0A75">
        <w:trPr>
          <w:trHeight w:val="288"/>
          <w:jc w:val="center"/>
        </w:trPr>
        <w:tc>
          <w:tcPr>
            <w:tcW w:w="163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FCFFB7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Sorghum</w:t>
            </w:r>
          </w:p>
        </w:tc>
        <w:tc>
          <w:tcPr>
            <w:tcW w:w="11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EAD8AF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30</w:t>
            </w:r>
          </w:p>
        </w:tc>
        <w:tc>
          <w:tcPr>
            <w:tcW w:w="11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79D2D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8.79</w:t>
            </w:r>
          </w:p>
        </w:tc>
        <w:tc>
          <w:tcPr>
            <w:tcW w:w="11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57488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17.40</w:t>
            </w:r>
          </w:p>
        </w:tc>
        <w:tc>
          <w:tcPr>
            <w:tcW w:w="11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744D30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12.77</w:t>
            </w:r>
          </w:p>
        </w:tc>
        <w:tc>
          <w:tcPr>
            <w:tcW w:w="11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C204BB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2.35</w:t>
            </w:r>
          </w:p>
        </w:tc>
        <w:tc>
          <w:tcPr>
            <w:tcW w:w="11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3C28B1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color w:val="auto"/>
                <w:sz w:val="22"/>
                <w:szCs w:val="22"/>
                <w:lang w:val="en-IN" w:eastAsia="en-IN"/>
              </w:rPr>
              <w:t>0.43</w:t>
            </w:r>
          </w:p>
        </w:tc>
      </w:tr>
      <w:tr w:rsidR="0057352E" w:rsidRPr="00DC2CDC" w14:paraId="33A286FF" w14:textId="77777777" w:rsidTr="00EE0A75">
        <w:trPr>
          <w:trHeight w:val="288"/>
          <w:jc w:val="center"/>
        </w:trPr>
        <w:tc>
          <w:tcPr>
            <w:tcW w:w="1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9DAA35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Total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9769E1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328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0C5A02D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5.99</w:t>
            </w:r>
          </w:p>
        </w:tc>
        <w:tc>
          <w:tcPr>
            <w:tcW w:w="11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89EA41C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21.51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0A7DC5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13.59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287BFDD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3.27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CD85E33" w14:textId="77777777" w:rsidR="0057352E" w:rsidRPr="00DC2CDC" w:rsidRDefault="0057352E" w:rsidP="00EE0A75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</w:pPr>
            <w:r w:rsidRPr="00DC2CDC">
              <w:rPr>
                <w:rFonts w:eastAsia="Times New Roman" w:cs="Calibri"/>
                <w:b/>
                <w:bCs/>
                <w:color w:val="auto"/>
                <w:sz w:val="22"/>
                <w:szCs w:val="22"/>
                <w:lang w:val="en-IN" w:eastAsia="en-IN"/>
              </w:rPr>
              <w:t>0.18</w:t>
            </w:r>
          </w:p>
        </w:tc>
      </w:tr>
    </w:tbl>
    <w:p w14:paraId="7D21AE83" w14:textId="77777777" w:rsidR="0057352E" w:rsidRPr="00DC2CDC" w:rsidRDefault="0057352E" w:rsidP="0057352E">
      <w:pPr>
        <w:rPr>
          <w:color w:val="auto"/>
        </w:rPr>
      </w:pPr>
      <w:r w:rsidRPr="00DC2CDC">
        <w:rPr>
          <w:color w:val="auto"/>
        </w:rPr>
        <w:br/>
      </w:r>
    </w:p>
    <w:p w14:paraId="1030DB8B" w14:textId="77777777" w:rsidR="0057352E" w:rsidRDefault="0057352E" w:rsidP="0057352E"/>
    <w:p w14:paraId="3D631207" w14:textId="77777777" w:rsidR="0057352E" w:rsidRDefault="0057352E" w:rsidP="0057352E"/>
    <w:p w14:paraId="3030B1ED" w14:textId="77777777" w:rsidR="0029262E" w:rsidRDefault="0029262E"/>
    <w:sectPr w:rsidR="002926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52E"/>
    <w:rsid w:val="0029262E"/>
    <w:rsid w:val="0057352E"/>
    <w:rsid w:val="00ED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28066"/>
  <w15:chartTrackingRefBased/>
  <w15:docId w15:val="{D447FA53-2D27-44BF-95C2-2E9553FF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52E"/>
    <w:pPr>
      <w:suppressAutoHyphens/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Krithika Anbazhagan</dc:creator>
  <cp:keywords/>
  <dc:description/>
  <cp:lastModifiedBy>Krithika Anbazhagan</cp:lastModifiedBy>
  <cp:revision>1</cp:revision>
  <dcterms:created xsi:type="dcterms:W3CDTF">2022-02-11T18:27:00Z</dcterms:created>
  <dcterms:modified xsi:type="dcterms:W3CDTF">2022-02-11T18:28:00Z</dcterms:modified>
</cp:coreProperties>
</file>